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E7C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center"/>
        <w:rPr>
          <w:rFonts w:hint="default" w:ascii="Calibri" w:hAnsi="Calibri" w:eastAsia="sans-serif" w:cs="Calibri"/>
          <w:b/>
          <w:bCs/>
          <w:color w:val="284980"/>
          <w:sz w:val="22"/>
          <w:szCs w:val="22"/>
        </w:rPr>
      </w:pPr>
      <w:r>
        <w:rPr>
          <w:rFonts w:hint="default" w:ascii="Calibri" w:hAnsi="Calibri" w:eastAsia="sans-serif" w:cs="Calibri"/>
          <w:b/>
          <w:bCs/>
          <w:color w:val="284980"/>
          <w:sz w:val="22"/>
          <w:szCs w:val="22"/>
          <w:bdr w:val="none" w:color="auto" w:sz="0" w:space="0"/>
        </w:rPr>
        <w:t>Вила Ексклузив- Сутоморе 2026</w:t>
      </w:r>
    </w:p>
    <w:p w14:paraId="5F5F9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</w:p>
    <w:p w14:paraId="75CFC9CD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color w:val="000000"/>
          <w:sz w:val="22"/>
          <w:szCs w:val="22"/>
          <w:bdr w:val="none" w:color="auto" w:sz="0" w:space="0"/>
        </w:rPr>
        <w:t>Туристичката населба Сутоморе се наоѓа помеѓу Бар и Чањ во еден од најубавите делови од Јадранското крајбрежје. Со својата долга песочна плажа, прекрасното сино море, како и многубројните ресторани, кафе баровите, дискотеките, забавните пaркови за деца и другите објекти за забава е омилена туристичка дестинација и нуди можност за незаборавен одмор.</w:t>
      </w:r>
    </w:p>
    <w:p w14:paraId="65021C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  <w:sz w:val="22"/>
          <w:szCs w:val="22"/>
        </w:rPr>
      </w:pPr>
      <w:r>
        <w:rPr>
          <w:rFonts w:hint="default" w:ascii="Calibri" w:hAnsi="Calibri" w:eastAsia="sans-serif" w:cs="Calibri"/>
          <w:b/>
          <w:bCs/>
          <w:color w:val="212529"/>
          <w:sz w:val="22"/>
          <w:szCs w:val="22"/>
          <w:bdr w:val="none" w:color="auto" w:sz="0" w:space="0"/>
        </w:rPr>
        <w:t>Што е вклучено во цената</w:t>
      </w:r>
    </w:p>
    <w:p w14:paraId="6B92EC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color w:val="000000"/>
          <w:sz w:val="22"/>
          <w:szCs w:val="22"/>
          <w:bdr w:val="none" w:color="auto" w:sz="0" w:space="0"/>
          <w:vertAlign w:val="baseline"/>
        </w:rPr>
        <w:t> Цените се изразени во евра и се однесуваат на ПАКЕТ АРАНЖМАН ПО ЛИЦЕ 9 или 7 ноќевања со појадок и вечера со вклучен превоз</w:t>
      </w:r>
    </w:p>
    <w:p w14:paraId="1D75FE8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color w:val="000000"/>
          <w:sz w:val="22"/>
          <w:szCs w:val="22"/>
          <w:bdr w:val="none" w:color="auto" w:sz="0" w:space="0"/>
          <w:vertAlign w:val="baseline"/>
        </w:rPr>
        <w:t>Клима уред</w:t>
      </w:r>
    </w:p>
    <w:p w14:paraId="623C3C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  <w:sz w:val="22"/>
          <w:szCs w:val="22"/>
        </w:rPr>
      </w:pPr>
      <w:r>
        <w:rPr>
          <w:rFonts w:hint="default" w:ascii="Calibri" w:hAnsi="Calibri" w:eastAsia="sans-serif" w:cs="Calibri"/>
          <w:b/>
          <w:bCs/>
          <w:color w:val="212529"/>
          <w:sz w:val="22"/>
          <w:szCs w:val="22"/>
          <w:bdr w:val="none" w:color="auto" w:sz="0" w:space="0"/>
        </w:rPr>
        <w:t>Што не е вклучено во цената</w:t>
      </w:r>
    </w:p>
    <w:p w14:paraId="6ED4AF0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color w:val="000000"/>
          <w:sz w:val="22"/>
          <w:szCs w:val="22"/>
          <w:bdr w:val="none" w:color="auto" w:sz="0" w:space="0"/>
          <w:vertAlign w:val="baseline"/>
        </w:rPr>
        <w:t>туристичка такса која се плаќа на лице место (1 евро на ден по лице )</w:t>
      </w:r>
    </w:p>
    <w:p w14:paraId="2C7A744A">
      <w:pPr>
        <w:rPr>
          <w:rFonts w:hint="default" w:ascii="Calibri" w:hAnsi="Calibri" w:cs="Calibri"/>
          <w:sz w:val="22"/>
          <w:szCs w:val="22"/>
        </w:rPr>
      </w:pPr>
    </w:p>
    <w:p w14:paraId="5F16A52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z w:val="22"/>
          <w:szCs w:val="22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z w:val="22"/>
          <w:szCs w:val="22"/>
          <w:shd w:val="clear" w:fill="FFFFFF"/>
        </w:rPr>
        <w:t>Вила Ексклузив</w:t>
      </w:r>
    </w:p>
    <w:p w14:paraId="36D119D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fill="FFFFFF"/>
        </w:rPr>
        <w:t>Сместувањето е во центарот на градот на само 250м од плажа и ги нуди следниве капацитети:</w:t>
      </w:r>
    </w:p>
    <w:p w14:paraId="1A486E65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fill="FFFFFF"/>
        </w:rPr>
        <w:t>ВИЛА ЕКСКЛУЗИВ располага со двокреветни и со трокреветни соби опремени со клима ,ТВ, тоалет, фрижидер и тераса. На секој кат во вилата има заедничка кујна опремена со основен прибор. Kористење на клима уредот е вклучен во цената.</w:t>
      </w:r>
    </w:p>
    <w:p w14:paraId="5E5B017B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fill="FFFFFF"/>
        </w:rPr>
        <w:t> </w:t>
      </w:r>
    </w:p>
    <w:p w14:paraId="7C3809F7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fill="FFFFFF"/>
        </w:rPr>
        <w:t>Соба бр.15 двокреветна соба со брачен кревет на прв кат.</w:t>
      </w:r>
    </w:p>
    <w:p w14:paraId="1D03FCE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fill="FFFFFF"/>
        </w:rPr>
        <w:t>Соба бр.23 трокреветна соба со три единечни кревети на втор кат.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1355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2041300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Термин</w:t>
            </w:r>
          </w:p>
        </w:tc>
        <w:tc>
          <w:tcPr>
            <w:tcW w:w="2841" w:type="dxa"/>
          </w:tcPr>
          <w:p w14:paraId="26E7B26A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1/2 Соба (редовна цена по лице)</w:t>
            </w:r>
          </w:p>
        </w:tc>
        <w:tc>
          <w:tcPr>
            <w:tcW w:w="2841" w:type="dxa"/>
          </w:tcPr>
          <w:p w14:paraId="678C8F36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1/3 Соба ( редовна цена по лице)</w:t>
            </w:r>
          </w:p>
        </w:tc>
      </w:tr>
      <w:tr w14:paraId="5809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142FA1A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20.07-29.07</w:t>
            </w:r>
          </w:p>
        </w:tc>
        <w:tc>
          <w:tcPr>
            <w:tcW w:w="2841" w:type="dxa"/>
          </w:tcPr>
          <w:p w14:paraId="5CA4F67B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330е</w:t>
            </w:r>
          </w:p>
        </w:tc>
        <w:tc>
          <w:tcPr>
            <w:tcW w:w="2841" w:type="dxa"/>
          </w:tcPr>
          <w:p w14:paraId="0175A75A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330е</w:t>
            </w:r>
          </w:p>
        </w:tc>
      </w:tr>
      <w:tr w14:paraId="6270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EF7E023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29.07-07.08</w:t>
            </w:r>
          </w:p>
        </w:tc>
        <w:tc>
          <w:tcPr>
            <w:tcW w:w="2841" w:type="dxa"/>
          </w:tcPr>
          <w:p w14:paraId="52F82F38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330е</w:t>
            </w:r>
          </w:p>
        </w:tc>
        <w:tc>
          <w:tcPr>
            <w:tcW w:w="2841" w:type="dxa"/>
          </w:tcPr>
          <w:p w14:paraId="177C876E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330е</w:t>
            </w:r>
          </w:p>
        </w:tc>
      </w:tr>
      <w:tr w14:paraId="741D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FBFF161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07.08-16.08</w:t>
            </w:r>
          </w:p>
        </w:tc>
        <w:tc>
          <w:tcPr>
            <w:tcW w:w="2841" w:type="dxa"/>
          </w:tcPr>
          <w:p w14:paraId="74D4CDBB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330е</w:t>
            </w:r>
          </w:p>
        </w:tc>
        <w:tc>
          <w:tcPr>
            <w:tcW w:w="2841" w:type="dxa"/>
          </w:tcPr>
          <w:p w14:paraId="070905C5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330е</w:t>
            </w:r>
          </w:p>
        </w:tc>
      </w:tr>
      <w:tr w14:paraId="4CBB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11FF671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16.08-25.08</w:t>
            </w:r>
          </w:p>
        </w:tc>
        <w:tc>
          <w:tcPr>
            <w:tcW w:w="2841" w:type="dxa"/>
          </w:tcPr>
          <w:p w14:paraId="3114F3FA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320е</w:t>
            </w:r>
          </w:p>
        </w:tc>
        <w:tc>
          <w:tcPr>
            <w:tcW w:w="2841" w:type="dxa"/>
          </w:tcPr>
          <w:p w14:paraId="4D2A8579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320е</w:t>
            </w:r>
          </w:p>
        </w:tc>
      </w:tr>
      <w:tr w14:paraId="3269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C1E65A3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25.08-01.09</w:t>
            </w:r>
          </w:p>
        </w:tc>
        <w:tc>
          <w:tcPr>
            <w:tcW w:w="2841" w:type="dxa"/>
          </w:tcPr>
          <w:p w14:paraId="0D49467D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275е</w:t>
            </w:r>
          </w:p>
        </w:tc>
        <w:tc>
          <w:tcPr>
            <w:tcW w:w="2841" w:type="dxa"/>
          </w:tcPr>
          <w:p w14:paraId="718D9597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275е</w:t>
            </w:r>
          </w:p>
        </w:tc>
      </w:tr>
      <w:tr w14:paraId="507C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9F688E3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01.09-08.09</w:t>
            </w:r>
          </w:p>
        </w:tc>
        <w:tc>
          <w:tcPr>
            <w:tcW w:w="2841" w:type="dxa"/>
          </w:tcPr>
          <w:p w14:paraId="1A718D8A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265е</w:t>
            </w:r>
          </w:p>
        </w:tc>
        <w:tc>
          <w:tcPr>
            <w:tcW w:w="2841" w:type="dxa"/>
          </w:tcPr>
          <w:p w14:paraId="6533A1F5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265е</w:t>
            </w:r>
          </w:p>
        </w:tc>
      </w:tr>
      <w:tr w14:paraId="37D52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2E8BF7D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08.09-15.09</w:t>
            </w:r>
          </w:p>
        </w:tc>
        <w:tc>
          <w:tcPr>
            <w:tcW w:w="2841" w:type="dxa"/>
          </w:tcPr>
          <w:p w14:paraId="3DC14516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250е</w:t>
            </w:r>
          </w:p>
        </w:tc>
        <w:tc>
          <w:tcPr>
            <w:tcW w:w="2841" w:type="dxa"/>
          </w:tcPr>
          <w:p w14:paraId="5C18C580">
            <w:pP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mk-MK"/>
              </w:rPr>
              <w:t>250е</w:t>
            </w:r>
          </w:p>
        </w:tc>
      </w:tr>
    </w:tbl>
    <w:p w14:paraId="0C1CC60C">
      <w:pPr>
        <w:rPr>
          <w:rFonts w:hint="default" w:ascii="Calibri" w:hAnsi="Calibri" w:cs="Calibri"/>
          <w:sz w:val="22"/>
          <w:szCs w:val="22"/>
        </w:rPr>
      </w:pPr>
    </w:p>
    <w:p w14:paraId="12A80D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  <w:sz w:val="22"/>
          <w:szCs w:val="22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sz w:val="22"/>
          <w:szCs w:val="22"/>
          <w:bdr w:val="none" w:color="auto" w:sz="0" w:space="0"/>
          <w:shd w:val="clear" w:fill="F8F8F8"/>
        </w:rPr>
        <w:t>Важно</w:t>
      </w:r>
    </w:p>
    <w:p w14:paraId="62CECA8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Прво дете до 12 год. ПОПУСТ од 50 % од промо цената на аранжманот</w:t>
      </w:r>
    </w:p>
    <w:p w14:paraId="27B87A1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Второ дете до 12 год. ГРАТИС (доплата за превоз 45 евра) за сместување во 1/3 соба</w:t>
      </w:r>
    </w:p>
    <w:p w14:paraId="14AF477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Второ дете до 12 год. ПОПУСТ од 50% од промо цената на аранжманот за сместување во 1/4 соба</w:t>
      </w:r>
    </w:p>
    <w:p w14:paraId="0179ECC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Попуст за трето возрасно лице или дете над 12год – 20% попуст од промо цената</w:t>
      </w:r>
    </w:p>
    <w:p w14:paraId="421BA32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Дете до 5 год. кое не користи кревет – ГРАТИС (доплата за превоз 25 евра )</w:t>
      </w:r>
    </w:p>
    <w:p w14:paraId="18919A4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доплата за еднокреветна соба 70%</w:t>
      </w:r>
    </w:p>
    <w:p w14:paraId="7672ACE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Попустот за деца важи за сместување со две возрасн</w:t>
      </w:r>
      <w:bookmarkStart w:id="0" w:name="_GoBack"/>
      <w:bookmarkEnd w:id="0"/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и лица.</w:t>
      </w:r>
    </w:p>
    <w:p w14:paraId="6563767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Намалување за патување со сопствен превоз – 10 евра.</w:t>
      </w:r>
    </w:p>
    <w:p w14:paraId="23E71AC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Во цената не е вклучена туристичка такса која се плаќа на лице место.</w:t>
      </w:r>
    </w:p>
    <w:p w14:paraId="54497A4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23F5E0"/>
    <w:multiLevelType w:val="multilevel"/>
    <w:tmpl w:val="A423F5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62B6DE3"/>
    <w:multiLevelType w:val="multilevel"/>
    <w:tmpl w:val="D62B6D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8B1EFE6"/>
    <w:multiLevelType w:val="multilevel"/>
    <w:tmpl w:val="E8B1EF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6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9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2026-02-12T10:33:55Z</dcterms:created>
  <dc:creator>User</dc:creator>
  <cp:lastModifiedBy>User</cp:lastModifiedBy>
  <dcterms:modified xsi:type="dcterms:W3CDTF">2026-02-12T10:38:23Z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F065E52DB1BF40AD9C47C78D84CB3A8E_12</vt:lpwstr>
  </property>
</Properties>
</file>